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6170" w14:textId="16D94C25" w:rsidR="00BE616E" w:rsidRPr="00E87740" w:rsidRDefault="006E77C7" w:rsidP="00E87740">
      <w:pPr>
        <w:pStyle w:val="Figuur-tabel-titel"/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</w:rPr>
      </w:pPr>
      <w:r w:rsidRPr="00E87740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4"/>
        </w:rPr>
        <w:t>Ruimtelijke Verkenning 2023 –</w:t>
      </w:r>
      <w:r w:rsidR="00E87740" w:rsidRPr="00E87740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4"/>
        </w:rPr>
        <w:t xml:space="preserve"> </w:t>
      </w:r>
      <w:r w:rsidR="00510B10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4"/>
        </w:rPr>
        <w:t>S</w:t>
      </w:r>
      <w:r w:rsidR="00E87740" w:rsidRPr="00E87740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4"/>
        </w:rPr>
        <w:t>amenvatting</w:t>
      </w:r>
      <w:r w:rsidR="00510B10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4"/>
        </w:rPr>
        <w:t>en</w:t>
      </w:r>
      <w:r w:rsidR="00E87740" w:rsidRPr="00E87740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4"/>
        </w:rPr>
        <w:t xml:space="preserve"> van Groen Land en Snelle Wereld</w:t>
      </w:r>
    </w:p>
    <w:p w14:paraId="35616C94" w14:textId="22CC9A4C" w:rsidR="00041A6C" w:rsidRDefault="00041A6C" w:rsidP="00041A6C">
      <w:pPr>
        <w:pStyle w:val="Figuur-tabel-titel"/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</w:pPr>
    </w:p>
    <w:p w14:paraId="5E40D8EB" w14:textId="258DBDC3" w:rsidR="00E87740" w:rsidRPr="00E87740" w:rsidRDefault="006F602B" w:rsidP="00E87740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</w:t>
      </w:r>
      <w:r w:rsidR="00E87740" w:rsidRPr="00E87740">
        <w:rPr>
          <w:b/>
          <w:bCs/>
          <w:color w:val="000000" w:themeColor="text1"/>
          <w:sz w:val="24"/>
          <w:szCs w:val="24"/>
        </w:rPr>
        <w:t>ituatie in 2050</w:t>
      </w: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943"/>
      </w:tblGrid>
      <w:tr w:rsidR="00CC5FEF" w:rsidRPr="00262692" w14:paraId="78417E0A" w14:textId="6D145A6D" w:rsidTr="00CC5FEF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3BFDDE7B" w14:textId="77777777" w:rsidR="00CC5FEF" w:rsidRDefault="00CC5FEF" w:rsidP="00E87740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</w:p>
          <w:p w14:paraId="60E434D1" w14:textId="1870D73C" w:rsidR="00CC5FEF" w:rsidRPr="00703FF4" w:rsidRDefault="00CC5FEF" w:rsidP="00E87740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E2EFD9" w:themeFill="accent6" w:themeFillTint="33"/>
          </w:tcPr>
          <w:p w14:paraId="75789079" w14:textId="4D894A7F" w:rsidR="00CC5FEF" w:rsidRPr="00703FF4" w:rsidRDefault="00CC5FEF" w:rsidP="00E87740">
            <w:pPr>
              <w:spacing w:after="200" w:line="240" w:lineRule="auto"/>
              <w:ind w:right="-250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  <w:r w:rsidRPr="00096118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lang w:val="nl-NL"/>
              </w:rPr>
              <w:t xml:space="preserve">       Groen Land</w:t>
            </w:r>
          </w:p>
        </w:tc>
      </w:tr>
      <w:tr w:rsidR="00CC5FEF" w:rsidRPr="00262692" w14:paraId="70B5837A" w14:textId="1EECCBAC" w:rsidTr="0013396A">
        <w:trPr>
          <w:trHeight w:val="1839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204B4974" w14:textId="77777777" w:rsidR="00CC5FEF" w:rsidRPr="007A5A96" w:rsidRDefault="00CC5FEF" w:rsidP="00E87740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63CCEE46" w14:textId="77777777" w:rsidR="00CC5FEF" w:rsidRPr="007A5A96" w:rsidRDefault="00CC5FEF" w:rsidP="00E87740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038D5114" w14:textId="6FDB88FF" w:rsidR="00CC5FEF" w:rsidRPr="007A5A96" w:rsidRDefault="00CC5FEF" w:rsidP="00E87740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7A5A96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Samenleving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E2EFD9" w:themeFill="accent6" w:themeFillTint="33"/>
          </w:tcPr>
          <w:p w14:paraId="331FBACF" w14:textId="64A1C6DB" w:rsidR="00CC5FEF" w:rsidRPr="00703FF4" w:rsidRDefault="00CC5FEF" w:rsidP="00E87740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Mensen zien zich als onderdeel van de natuur en identificeren zich met het collectief (samenleving)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. </w:t>
            </w:r>
          </w:p>
          <w:p w14:paraId="634E723C" w14:textId="61EBC1D6" w:rsidR="00CC5FEF" w:rsidRPr="00703FF4" w:rsidRDefault="00CC5FEF" w:rsidP="00E87740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 xml:space="preserve">Prioriteit voor </w:t>
            </w:r>
            <w:r w:rsidRPr="00CC5FEF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P</w:t>
            </w:r>
            <w:r w:rsidRPr="00703FF4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lanet</w:t>
            </w: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.</w:t>
            </w:r>
          </w:p>
          <w:p w14:paraId="3F788186" w14:textId="4B54DD6C" w:rsidR="00CC5FEF" w:rsidRPr="00703FF4" w:rsidRDefault="00CC5FEF" w:rsidP="00E87740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Natuurlijke oplossingen gaan voor technologische. Ongelijkheid is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 klein</w:t>
            </w: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.</w:t>
            </w:r>
          </w:p>
          <w:p w14:paraId="07ABF889" w14:textId="1AF84655" w:rsidR="00CC5FEF" w:rsidRPr="00703FF4" w:rsidRDefault="00CC5FEF" w:rsidP="00E87740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 xml:space="preserve">De vrijheid tot consumeren is ingeperkt door 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de </w:t>
            </w: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 xml:space="preserve">invoering van 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een </w:t>
            </w: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planeetpuntenbudget.</w:t>
            </w:r>
          </w:p>
        </w:tc>
      </w:tr>
      <w:tr w:rsidR="00CC5FEF" w:rsidRPr="00262692" w14:paraId="77F8798F" w14:textId="3C8D2B4F" w:rsidTr="0013396A">
        <w:trPr>
          <w:trHeight w:val="958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527972FB" w14:textId="77777777" w:rsidR="00CC5FEF" w:rsidRPr="007A5A96" w:rsidRDefault="00CC5FEF" w:rsidP="00E87740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7E81DC5F" w14:textId="183CE11A" w:rsidR="00CC5FEF" w:rsidRPr="007A5A96" w:rsidRDefault="00CC5FEF" w:rsidP="00E87740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7A5A96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Economie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E2EFD9" w:themeFill="accent6" w:themeFillTint="33"/>
          </w:tcPr>
          <w:p w14:paraId="5A3AF5B3" w14:textId="4E7CA83E" w:rsidR="00CC5FEF" w:rsidRPr="00703FF4" w:rsidRDefault="00CC5FEF" w:rsidP="00E87740">
            <w:pPr>
              <w:numPr>
                <w:ilvl w:val="0"/>
                <w:numId w:val="5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lang w:val="nl-NL"/>
              </w:rPr>
              <w:t>De p</w:t>
            </w: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ost-groei-economie is gericht op vermindering van materialengebruik en herverdeling van inkomens.</w:t>
            </w:r>
          </w:p>
          <w:p w14:paraId="49EAFEFD" w14:textId="6CF5BE12" w:rsidR="00CC5FEF" w:rsidRPr="00703FF4" w:rsidRDefault="00CC5FEF" w:rsidP="00E87740">
            <w:pPr>
              <w:numPr>
                <w:ilvl w:val="0"/>
                <w:numId w:val="5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De </w:t>
            </w: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 xml:space="preserve">Rijksoverheid 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>neemt het initiatief en mobiliseert andere partijen</w:t>
            </w: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.</w:t>
            </w:r>
          </w:p>
        </w:tc>
      </w:tr>
      <w:tr w:rsidR="00CC5FEF" w:rsidRPr="00262692" w14:paraId="487B02BA" w14:textId="73231195" w:rsidTr="00CC5FEF">
        <w:trPr>
          <w:trHeight w:val="854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2268A112" w14:textId="77777777" w:rsidR="00CC5FEF" w:rsidRPr="007A5A96" w:rsidRDefault="00CC5FEF" w:rsidP="00E87740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125C501F" w14:textId="32654265" w:rsidR="00CC5FEF" w:rsidRPr="007A5A96" w:rsidRDefault="00CC5FEF" w:rsidP="00E87740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7A5A96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Ruimtelijke patronen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E2EFD9" w:themeFill="accent6" w:themeFillTint="33"/>
          </w:tcPr>
          <w:p w14:paraId="4DA18689" w14:textId="293C55F4" w:rsidR="00CC5FEF" w:rsidRDefault="00CC5FEF" w:rsidP="00E87740">
            <w:pPr>
              <w:pStyle w:val="Lijstalinea"/>
              <w:numPr>
                <w:ilvl w:val="0"/>
                <w:numId w:val="3"/>
              </w:numPr>
              <w:spacing w:after="200" w:line="240" w:lineRule="auto"/>
              <w:ind w:left="388" w:hanging="388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Openbaarvervoernetwerken, energienetwerken en netwerken voor lopen en fietsen vormen kralensnoeren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>.</w:t>
            </w:r>
          </w:p>
          <w:p w14:paraId="123844DE" w14:textId="67E0DB1C" w:rsidR="00CC5FEF" w:rsidRPr="00703FF4" w:rsidRDefault="00CC5FEF" w:rsidP="00E87740">
            <w:pPr>
              <w:pStyle w:val="Lijstalinea"/>
              <w:numPr>
                <w:ilvl w:val="0"/>
                <w:numId w:val="3"/>
              </w:numPr>
              <w:spacing w:after="200" w:line="240" w:lineRule="auto"/>
              <w:ind w:left="388" w:hanging="388"/>
              <w:rPr>
                <w:rFonts w:asciiTheme="minorHAnsi" w:hAnsiTheme="minorHAnsi" w:cstheme="minorHAnsi"/>
                <w:sz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lang w:val="nl-NL"/>
              </w:rPr>
              <w:t>De b</w:t>
            </w: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 xml:space="preserve">ebouwing 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is </w:t>
            </w: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 xml:space="preserve">geconcentreerd rond knooppunten van infrastructuur. </w:t>
            </w:r>
          </w:p>
        </w:tc>
      </w:tr>
      <w:tr w:rsidR="00CC5FEF" w:rsidRPr="00663C51" w14:paraId="35229CCE" w14:textId="7AA71517" w:rsidTr="00102E45">
        <w:trPr>
          <w:trHeight w:val="2954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0BDFC2F5" w14:textId="77777777" w:rsidR="00CC5FEF" w:rsidRDefault="00CC5FEF" w:rsidP="006F602B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</w:p>
          <w:p w14:paraId="13244C11" w14:textId="77777777" w:rsidR="00CC5FEF" w:rsidRDefault="00CC5FEF" w:rsidP="006F602B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</w:p>
          <w:p w14:paraId="7286F6EC" w14:textId="77777777" w:rsidR="00CC5FEF" w:rsidRDefault="00CC5FEF" w:rsidP="006F602B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</w:p>
          <w:p w14:paraId="3EBBB844" w14:textId="77777777" w:rsidR="00CC5FEF" w:rsidRPr="007A5A96" w:rsidRDefault="00CC5FEF" w:rsidP="006F602B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7A5A96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Stad en     regio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E2EFD9" w:themeFill="accent6" w:themeFillTint="33"/>
          </w:tcPr>
          <w:p w14:paraId="5ABD8425" w14:textId="169033C5" w:rsidR="00CC5FEF" w:rsidRPr="00966699" w:rsidRDefault="00CC5FEF" w:rsidP="006F602B">
            <w:pPr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966699">
              <w:rPr>
                <w:rFonts w:asciiTheme="minorHAnsi" w:hAnsiTheme="minorHAnsi" w:cstheme="minorHAnsi"/>
                <w:sz w:val="22"/>
                <w:lang w:val="nl-NL"/>
              </w:rPr>
              <w:t>Leidend verstedelijkingsconcept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 is</w:t>
            </w:r>
            <w:r w:rsidRPr="00966699">
              <w:rPr>
                <w:rFonts w:asciiTheme="minorHAnsi" w:hAnsiTheme="minorHAnsi" w:cstheme="minorHAnsi"/>
                <w:sz w:val="22"/>
                <w:lang w:val="nl-NL"/>
              </w:rPr>
              <w:t xml:space="preserve"> ecopolis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: een </w:t>
            </w:r>
            <w:r w:rsidRPr="00A37C8B">
              <w:rPr>
                <w:rFonts w:cstheme="minorHAnsi"/>
                <w:lang w:val="nl-NL"/>
              </w:rPr>
              <w:t>ecologisch duurzaam functionerende stad</w:t>
            </w:r>
            <w:r w:rsidRPr="00966699">
              <w:rPr>
                <w:rFonts w:asciiTheme="minorHAnsi" w:hAnsiTheme="minorHAnsi" w:cstheme="minorHAnsi"/>
                <w:sz w:val="22"/>
                <w:lang w:val="nl-NL"/>
              </w:rPr>
              <w:t>.</w:t>
            </w:r>
          </w:p>
          <w:p w14:paraId="33835FF3" w14:textId="77777777" w:rsidR="00CC5FEF" w:rsidRDefault="00CC5FEF" w:rsidP="006F602B">
            <w:pPr>
              <w:numPr>
                <w:ilvl w:val="0"/>
                <w:numId w:val="19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966699">
              <w:rPr>
                <w:rFonts w:asciiTheme="minorHAnsi" w:hAnsiTheme="minorHAnsi" w:cstheme="minorHAnsi"/>
                <w:sz w:val="22"/>
                <w:lang w:val="nl-NL"/>
              </w:rPr>
              <w:t>Optimale benutting van bestaande (middelgrote) steden, relatief evenwichtig gespreid over het land.</w:t>
            </w:r>
          </w:p>
          <w:p w14:paraId="5204C551" w14:textId="77777777" w:rsidR="00CC5FEF" w:rsidRPr="00966699" w:rsidRDefault="00CC5FEF" w:rsidP="006F602B">
            <w:pPr>
              <w:numPr>
                <w:ilvl w:val="0"/>
                <w:numId w:val="19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966699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 xml:space="preserve">Transit-oriented development: </w:t>
            </w:r>
            <w:r w:rsidRPr="00966699">
              <w:rPr>
                <w:rFonts w:asciiTheme="minorHAnsi" w:hAnsiTheme="minorHAnsi" w:cstheme="minorHAnsi"/>
                <w:sz w:val="22"/>
                <w:lang w:val="nl-NL"/>
              </w:rPr>
              <w:t>stedelijke ontwikkeling rond openbaarvervoerknopen; verknoping van rood, groen en blauw. Het land komt de stad in.</w:t>
            </w:r>
          </w:p>
          <w:p w14:paraId="2B9D140B" w14:textId="4AE4C741" w:rsidR="00510B10" w:rsidRDefault="00CC5FEF" w:rsidP="006F602B">
            <w:pPr>
              <w:numPr>
                <w:ilvl w:val="0"/>
                <w:numId w:val="19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966699">
              <w:rPr>
                <w:rFonts w:asciiTheme="minorHAnsi" w:hAnsiTheme="minorHAnsi" w:cstheme="minorHAnsi"/>
                <w:sz w:val="22"/>
                <w:lang w:val="nl-NL"/>
              </w:rPr>
              <w:t>Nabijheid</w:t>
            </w:r>
            <w:r w:rsidR="007B344C">
              <w:rPr>
                <w:rFonts w:asciiTheme="minorHAnsi" w:hAnsiTheme="minorHAnsi" w:cstheme="minorHAnsi"/>
                <w:sz w:val="22"/>
                <w:lang w:val="nl-NL"/>
              </w:rPr>
              <w:t xml:space="preserve"> gaat boven snelheid. Lokaal vervoer gebeurt via lopen, </w:t>
            </w:r>
            <w:r w:rsidR="00510B10">
              <w:rPr>
                <w:rFonts w:asciiTheme="minorHAnsi" w:hAnsiTheme="minorHAnsi" w:cstheme="minorHAnsi"/>
                <w:sz w:val="22"/>
                <w:lang w:val="nl-NL"/>
              </w:rPr>
              <w:t>fietsen</w:t>
            </w:r>
            <w:r w:rsidR="007B344C">
              <w:rPr>
                <w:rFonts w:asciiTheme="minorHAnsi" w:hAnsiTheme="minorHAnsi" w:cstheme="minorHAnsi"/>
                <w:sz w:val="22"/>
                <w:lang w:val="nl-NL"/>
              </w:rPr>
              <w:t>, riksja’s en emissie-loze bezorgvoertuigen, vormen van openbaar vervoer en auto’s</w:t>
            </w:r>
            <w:r w:rsidR="00510B10">
              <w:rPr>
                <w:rFonts w:asciiTheme="minorHAnsi" w:hAnsiTheme="minorHAnsi" w:cstheme="minorHAnsi"/>
                <w:sz w:val="22"/>
                <w:lang w:val="nl-NL"/>
              </w:rPr>
              <w:t>.</w:t>
            </w:r>
          </w:p>
          <w:p w14:paraId="1C129EAD" w14:textId="36DBA98F" w:rsidR="00CC5FEF" w:rsidRPr="00966699" w:rsidRDefault="00510B10" w:rsidP="006F602B">
            <w:pPr>
              <w:numPr>
                <w:ilvl w:val="0"/>
                <w:numId w:val="19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lang w:val="nl-NL"/>
              </w:rPr>
              <w:t>F</w:t>
            </w:r>
            <w:r w:rsidR="00CC5FEF" w:rsidRPr="00966699">
              <w:rPr>
                <w:rFonts w:asciiTheme="minorHAnsi" w:hAnsiTheme="minorHAnsi" w:cstheme="minorHAnsi"/>
                <w:sz w:val="22"/>
                <w:lang w:val="nl-NL"/>
              </w:rPr>
              <w:t>unctiemenging op wijk-, buurt- en gebouwniveau.</w:t>
            </w:r>
            <w:r w:rsidR="00BF471A">
              <w:rPr>
                <w:rFonts w:asciiTheme="minorHAnsi" w:hAnsiTheme="minorHAnsi" w:cstheme="minorHAnsi"/>
                <w:sz w:val="22"/>
                <w:lang w:val="nl-NL"/>
              </w:rPr>
              <w:t xml:space="preserve"> Concentratie van functies, incl. delen en repareren van fietsen, auto’s e.d., in wijk- en buurthubs. </w:t>
            </w:r>
          </w:p>
          <w:p w14:paraId="62670A51" w14:textId="77777777" w:rsidR="00CC5FEF" w:rsidRPr="00966699" w:rsidRDefault="00CC5FEF" w:rsidP="006F602B">
            <w:pPr>
              <w:numPr>
                <w:ilvl w:val="0"/>
                <w:numId w:val="19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966699">
              <w:rPr>
                <w:rFonts w:asciiTheme="minorHAnsi" w:hAnsiTheme="minorHAnsi" w:cstheme="minorHAnsi"/>
                <w:sz w:val="22"/>
                <w:lang w:val="nl-NL"/>
              </w:rPr>
              <w:t>Natuur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>-</w:t>
            </w:r>
            <w:r w:rsidRPr="00966699">
              <w:rPr>
                <w:rFonts w:asciiTheme="minorHAnsi" w:hAnsiTheme="minorHAnsi" w:cstheme="minorHAnsi"/>
                <w:sz w:val="22"/>
                <w:lang w:val="nl-NL"/>
              </w:rPr>
              <w:t>inclusieve verstedelijking met meer ruimte voor groen en water.</w:t>
            </w:r>
          </w:p>
        </w:tc>
      </w:tr>
    </w:tbl>
    <w:p w14:paraId="507F516C" w14:textId="77777777" w:rsidR="0054732C" w:rsidRDefault="0054732C">
      <w:pPr>
        <w:spacing w:after="160" w:line="259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3FCF044" w14:textId="42E7C50D" w:rsidR="00CC5FEF" w:rsidRDefault="00CC5FEF">
      <w:pPr>
        <w:spacing w:after="160" w:line="259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CC5FEF">
        <w:rPr>
          <w:rFonts w:asciiTheme="minorHAnsi" w:hAnsiTheme="minorHAnsi" w:cstheme="minorHAnsi"/>
          <w:b/>
          <w:bCs/>
          <w:sz w:val="24"/>
          <w:szCs w:val="24"/>
        </w:rPr>
        <w:t>Pad naar 2050</w:t>
      </w: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943"/>
      </w:tblGrid>
      <w:tr w:rsidR="00CC5FEF" w:rsidRPr="00FE6113" w14:paraId="6AD0EDF6" w14:textId="07BBC0A5" w:rsidTr="00CC5FEF">
        <w:trPr>
          <w:trHeight w:val="1140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4B2A8408" w14:textId="77777777" w:rsidR="00CC5FEF" w:rsidRDefault="00CC5FEF" w:rsidP="006F602B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bookmarkStart w:id="0" w:name="_Hlk132459720"/>
          </w:p>
          <w:p w14:paraId="3D143D5D" w14:textId="56C9E250" w:rsidR="00CC5FEF" w:rsidRPr="00AB385E" w:rsidRDefault="00CC5FEF" w:rsidP="006F602B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Aanleidingen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E2EFD9" w:themeFill="accent6" w:themeFillTint="33"/>
          </w:tcPr>
          <w:p w14:paraId="5062B49B" w14:textId="4851299F" w:rsidR="00CC5FEF" w:rsidRPr="00CC5FEF" w:rsidRDefault="00CC5FEF" w:rsidP="00CC5FEF">
            <w:pPr>
              <w:pStyle w:val="Lijstalinea"/>
              <w:numPr>
                <w:ilvl w:val="0"/>
                <w:numId w:val="26"/>
              </w:numPr>
              <w:spacing w:after="200" w:line="240" w:lineRule="auto"/>
              <w:ind w:left="319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 w:rsidRPr="00CC5FEF">
              <w:rPr>
                <w:rFonts w:asciiTheme="minorHAnsi" w:hAnsiTheme="minorHAnsi" w:cstheme="minorHAnsi"/>
                <w:sz w:val="22"/>
                <w:lang w:val="nl-NL"/>
              </w:rPr>
              <w:t>Klimaatverandering heeft steeds meer effecten, biodiversiteit loopt steeds sneller terug, dierziekten dragen bij aan eiwittransitie en protesten tegen ongelijkheid leiden tot debat over rechtvaardigheid voor volgende generaties en niet-menselijke actoren.</w:t>
            </w:r>
          </w:p>
        </w:tc>
      </w:tr>
      <w:tr w:rsidR="00CC5FEF" w:rsidRPr="00FE6113" w14:paraId="2232C813" w14:textId="72D40D26" w:rsidTr="00CC5FEF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02AC068C" w14:textId="77777777" w:rsidR="00CC5FEF" w:rsidRDefault="00CC5FEF" w:rsidP="006F602B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1D1985DF" w14:textId="1C83E0D5" w:rsidR="00CC5FEF" w:rsidRPr="00AB385E" w:rsidRDefault="00CC5FEF" w:rsidP="006F602B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Voorlopers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E2EFD9" w:themeFill="accent6" w:themeFillTint="33"/>
          </w:tcPr>
          <w:p w14:paraId="13D8F086" w14:textId="50D0A4A2" w:rsidR="00CC5FEF" w:rsidRPr="00CC5FEF" w:rsidRDefault="00CC5FEF" w:rsidP="00CC5FEF">
            <w:pPr>
              <w:pStyle w:val="Lijstalinea"/>
              <w:numPr>
                <w:ilvl w:val="0"/>
                <w:numId w:val="26"/>
              </w:numPr>
              <w:spacing w:after="200" w:line="240" w:lineRule="auto"/>
              <w:ind w:left="319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 w:rsidRPr="00CC5FEF">
              <w:rPr>
                <w:rFonts w:asciiTheme="minorHAnsi" w:hAnsiTheme="minorHAnsi" w:cstheme="minorHAnsi"/>
                <w:sz w:val="22"/>
                <w:lang w:val="nl-NL"/>
              </w:rPr>
              <w:t>Milieuorganisaties blijven rechtszaken tegen overheid voeren, het Rijk neemt mede daardoor steeds meer initiatief tot verduurzaming en vermindering van maatschappelijke ongelijkheid.</w:t>
            </w:r>
          </w:p>
        </w:tc>
      </w:tr>
      <w:tr w:rsidR="00CC5FEF" w:rsidRPr="00FE6113" w14:paraId="17AC3781" w14:textId="1C16AE9F" w:rsidTr="00CC5FEF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1E30D521" w14:textId="77777777" w:rsidR="00CC5FEF" w:rsidRDefault="00CC5FEF" w:rsidP="006F602B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6E638DC2" w14:textId="07854190" w:rsidR="00CC5FEF" w:rsidRPr="00AB385E" w:rsidRDefault="00CC5FEF" w:rsidP="006F602B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Motieven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E2EFD9" w:themeFill="accent6" w:themeFillTint="33"/>
          </w:tcPr>
          <w:p w14:paraId="01CFC47A" w14:textId="6F48B211" w:rsidR="00CC5FEF" w:rsidRPr="00CC5FEF" w:rsidRDefault="00CC5FEF" w:rsidP="00CC5FEF">
            <w:pPr>
              <w:pStyle w:val="Lijstalinea"/>
              <w:numPr>
                <w:ilvl w:val="0"/>
                <w:numId w:val="26"/>
              </w:numPr>
              <w:spacing w:after="200" w:line="240" w:lineRule="auto"/>
              <w:ind w:left="319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 w:rsidRPr="00CC5FEF">
              <w:rPr>
                <w:rFonts w:asciiTheme="minorHAnsi" w:hAnsiTheme="minorHAnsi" w:cstheme="minorHAnsi"/>
                <w:sz w:val="22"/>
                <w:lang w:val="nl-NL"/>
              </w:rPr>
              <w:t xml:space="preserve">Ecologische grenzen respecteren, sociale basis goed onderhouden, en rechten van toekomstige generaties (goed voorouderschap), planten en dieren meewegen in besluitvorming. </w:t>
            </w:r>
          </w:p>
        </w:tc>
      </w:tr>
      <w:tr w:rsidR="00CC5FEF" w:rsidRPr="00FE6113" w14:paraId="10330D39" w14:textId="019B3F7C" w:rsidTr="00CC5FEF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405ADE54" w14:textId="77777777" w:rsidR="00CC5FEF" w:rsidRDefault="00CC5FEF" w:rsidP="006F602B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5CA3CDC3" w14:textId="68737CB7" w:rsidR="00CC5FEF" w:rsidRPr="00AB385E" w:rsidRDefault="00CC5FEF" w:rsidP="006F602B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 xml:space="preserve">Maatregelen 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E2EFD9" w:themeFill="accent6" w:themeFillTint="33"/>
          </w:tcPr>
          <w:p w14:paraId="6523D3AF" w14:textId="35FF79AD" w:rsidR="00CC5FEF" w:rsidRPr="00CC5FEF" w:rsidRDefault="00CC5FEF" w:rsidP="00CC5FEF">
            <w:pPr>
              <w:pStyle w:val="Lijstalinea"/>
              <w:numPr>
                <w:ilvl w:val="0"/>
                <w:numId w:val="26"/>
              </w:numPr>
              <w:spacing w:after="200" w:line="240" w:lineRule="auto"/>
              <w:ind w:left="319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 w:rsidRPr="00CC5FEF">
              <w:rPr>
                <w:rFonts w:asciiTheme="minorHAnsi" w:hAnsiTheme="minorHAnsi" w:cstheme="minorHAnsi"/>
                <w:sz w:val="22"/>
                <w:lang w:val="nl-NL"/>
              </w:rPr>
              <w:t xml:space="preserve">Stelsel van niet-verhandelbare persoonlijke emissierechten </w:t>
            </w:r>
            <w:r w:rsidR="007B344C">
              <w:rPr>
                <w:rFonts w:asciiTheme="minorHAnsi" w:hAnsiTheme="minorHAnsi" w:cstheme="minorHAnsi"/>
                <w:sz w:val="22"/>
                <w:lang w:val="nl-NL"/>
              </w:rPr>
              <w:t>(</w:t>
            </w:r>
            <w:r w:rsidRPr="00CC5FEF">
              <w:rPr>
                <w:rFonts w:asciiTheme="minorHAnsi" w:hAnsiTheme="minorHAnsi" w:cstheme="minorHAnsi"/>
                <w:sz w:val="22"/>
                <w:lang w:val="nl-NL"/>
              </w:rPr>
              <w:t>planeetpunten) invoeren, missie-gedreven innovatiebeleid gericht op transities</w:t>
            </w:r>
            <w:r w:rsidR="00BF471A">
              <w:rPr>
                <w:rFonts w:asciiTheme="minorHAnsi" w:hAnsiTheme="minorHAnsi" w:cstheme="minorHAnsi"/>
                <w:sz w:val="22"/>
                <w:lang w:val="nl-NL"/>
              </w:rPr>
              <w:t xml:space="preserve"> voeren</w:t>
            </w:r>
            <w:r w:rsidRPr="00CC5FEF">
              <w:rPr>
                <w:rFonts w:asciiTheme="minorHAnsi" w:hAnsiTheme="minorHAnsi" w:cstheme="minorHAnsi"/>
                <w:sz w:val="22"/>
                <w:lang w:val="nl-NL"/>
              </w:rPr>
              <w:t xml:space="preserve">, de natuur als rechtspersoon opvatten, </w:t>
            </w:r>
            <w:r w:rsidRPr="00CC5FEF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Transit-oriented development</w:t>
            </w:r>
            <w:r w:rsidRPr="00CC5FEF">
              <w:rPr>
                <w:rFonts w:asciiTheme="minorHAnsi" w:hAnsiTheme="minorHAnsi" w:cstheme="minorHAnsi"/>
                <w:sz w:val="22"/>
                <w:lang w:val="nl-NL"/>
              </w:rPr>
              <w:t xml:space="preserve"> in alle steden toepassen</w:t>
            </w:r>
            <w:r w:rsidR="00BF471A">
              <w:rPr>
                <w:rFonts w:asciiTheme="minorHAnsi" w:hAnsiTheme="minorHAnsi" w:cstheme="minorHAnsi"/>
                <w:sz w:val="22"/>
                <w:lang w:val="nl-NL"/>
              </w:rPr>
              <w:t xml:space="preserve"> en ruimte herverdelen t.b.v. voor lopen, fietsen, openbaar vervoer e.d</w:t>
            </w:r>
            <w:r w:rsidRPr="00CC5FEF">
              <w:rPr>
                <w:rFonts w:asciiTheme="minorHAnsi" w:hAnsiTheme="minorHAnsi" w:cstheme="minorHAnsi"/>
                <w:sz w:val="22"/>
                <w:lang w:val="nl-NL"/>
              </w:rPr>
              <w:t xml:space="preserve">. </w:t>
            </w:r>
          </w:p>
        </w:tc>
      </w:tr>
      <w:bookmarkEnd w:id="0"/>
    </w:tbl>
    <w:p w14:paraId="18C4A747" w14:textId="77777777" w:rsidR="00041A6C" w:rsidRDefault="00041A6C" w:rsidP="00CB57BA">
      <w:pPr>
        <w:spacing w:after="160" w:line="259" w:lineRule="auto"/>
        <w:contextualSpacing w:val="0"/>
      </w:pPr>
    </w:p>
    <w:p w14:paraId="313AE02C" w14:textId="77777777" w:rsidR="00AE2040" w:rsidRDefault="00AE2040" w:rsidP="00CC5FEF">
      <w:pPr>
        <w:rPr>
          <w:b/>
          <w:bCs/>
          <w:color w:val="000000" w:themeColor="text1"/>
          <w:sz w:val="24"/>
          <w:szCs w:val="24"/>
        </w:rPr>
      </w:pPr>
    </w:p>
    <w:p w14:paraId="7A28AF3B" w14:textId="77777777" w:rsidR="007B344C" w:rsidRDefault="007B344C" w:rsidP="00CC5FEF">
      <w:pPr>
        <w:rPr>
          <w:b/>
          <w:bCs/>
          <w:color w:val="000000" w:themeColor="text1"/>
          <w:sz w:val="24"/>
          <w:szCs w:val="24"/>
        </w:rPr>
      </w:pPr>
    </w:p>
    <w:p w14:paraId="699FFC07" w14:textId="3F86CB87" w:rsidR="00CC5FEF" w:rsidRPr="00E87740" w:rsidRDefault="00CC5FEF" w:rsidP="00CC5FEF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</w:t>
      </w:r>
      <w:r w:rsidRPr="00E87740">
        <w:rPr>
          <w:b/>
          <w:bCs/>
          <w:color w:val="000000" w:themeColor="text1"/>
          <w:sz w:val="24"/>
          <w:szCs w:val="24"/>
        </w:rPr>
        <w:t>ituatie in 2050</w:t>
      </w: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85"/>
      </w:tblGrid>
      <w:tr w:rsidR="001B59E4" w:rsidRPr="00262692" w14:paraId="5D2868BA" w14:textId="77777777" w:rsidTr="001B59E4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3994833E" w14:textId="77777777" w:rsidR="001B59E4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</w:p>
          <w:p w14:paraId="117BAE2E" w14:textId="77777777" w:rsidR="001B59E4" w:rsidRPr="00703FF4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</w:p>
        </w:tc>
        <w:tc>
          <w:tcPr>
            <w:tcW w:w="808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CCCC"/>
          </w:tcPr>
          <w:p w14:paraId="34488523" w14:textId="77777777" w:rsidR="001B59E4" w:rsidRPr="00096118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</w:rPr>
            </w:pPr>
            <w:r w:rsidRPr="00096118">
              <w:rPr>
                <w:rFonts w:asciiTheme="minorHAnsi" w:hAnsiTheme="minorHAnsi" w:cstheme="minorHAnsi"/>
                <w:b/>
                <w:bCs/>
                <w:color w:val="C00000"/>
                <w:sz w:val="22"/>
                <w:lang w:val="nl-NL"/>
              </w:rPr>
              <w:t xml:space="preserve">       Snelle Wereld</w:t>
            </w:r>
          </w:p>
        </w:tc>
      </w:tr>
      <w:tr w:rsidR="001B59E4" w:rsidRPr="00262692" w14:paraId="331F516A" w14:textId="77777777" w:rsidTr="001B59E4">
        <w:trPr>
          <w:trHeight w:val="1589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70A71C4F" w14:textId="77777777" w:rsidR="001B59E4" w:rsidRPr="007A5A96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55F5E946" w14:textId="77777777" w:rsidR="001B59E4" w:rsidRPr="007A5A96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7A5A96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Samenleving</w:t>
            </w:r>
          </w:p>
        </w:tc>
        <w:tc>
          <w:tcPr>
            <w:tcW w:w="808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CCCC"/>
          </w:tcPr>
          <w:p w14:paraId="0A43BE61" w14:textId="77777777" w:rsidR="001B59E4" w:rsidRPr="00703FF4" w:rsidRDefault="001B59E4" w:rsidP="00857418">
            <w:pPr>
              <w:numPr>
                <w:ilvl w:val="0"/>
                <w:numId w:val="1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 xml:space="preserve">Samenleving 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is </w:t>
            </w: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georganiseerd in digitale leefstijlgroepen (bubbels).</w:t>
            </w:r>
          </w:p>
          <w:p w14:paraId="63EB4EA0" w14:textId="77777777" w:rsidR="001B59E4" w:rsidRPr="00703FF4" w:rsidRDefault="001B59E4" w:rsidP="00857418">
            <w:pPr>
              <w:numPr>
                <w:ilvl w:val="0"/>
                <w:numId w:val="1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 xml:space="preserve">Prioriteit voor 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>P</w:t>
            </w:r>
            <w:r w:rsidRPr="00703FF4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 xml:space="preserve">eople,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P</w:t>
            </w:r>
            <w:r w:rsidRPr="00703FF4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 xml:space="preserve">lanet of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P</w:t>
            </w:r>
            <w:r w:rsidRPr="00703FF4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rofit</w:t>
            </w: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 xml:space="preserve"> verschilt per bubbel.</w:t>
            </w:r>
          </w:p>
          <w:p w14:paraId="55344397" w14:textId="77777777" w:rsidR="001B59E4" w:rsidRPr="00703FF4" w:rsidRDefault="001B59E4" w:rsidP="00857418">
            <w:pPr>
              <w:numPr>
                <w:ilvl w:val="0"/>
                <w:numId w:val="1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Veel belangstelling voor en vertrouwen in technologie.</w:t>
            </w:r>
          </w:p>
          <w:p w14:paraId="5111CE2C" w14:textId="77777777" w:rsidR="001B59E4" w:rsidRPr="00703FF4" w:rsidRDefault="001B59E4" w:rsidP="00857418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inorHAnsi" w:hAnsiTheme="minorHAnsi" w:cstheme="minorHAnsi"/>
                <w:sz w:val="22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Inperking maatschappelijke deelname van mensen met beperkte digitale vaardigheden.</w:t>
            </w:r>
          </w:p>
        </w:tc>
      </w:tr>
      <w:tr w:rsidR="001B59E4" w:rsidRPr="00262692" w14:paraId="59D64492" w14:textId="77777777" w:rsidTr="001B59E4">
        <w:trPr>
          <w:trHeight w:val="805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6A0CAA8B" w14:textId="77777777" w:rsidR="001B59E4" w:rsidRPr="007A5A96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02F794AE" w14:textId="77777777" w:rsidR="001B59E4" w:rsidRPr="007A5A96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7A5A96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Economie</w:t>
            </w:r>
          </w:p>
        </w:tc>
        <w:tc>
          <w:tcPr>
            <w:tcW w:w="808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CCCC"/>
          </w:tcPr>
          <w:p w14:paraId="133BA6B4" w14:textId="77777777" w:rsidR="001B59E4" w:rsidRPr="00703FF4" w:rsidRDefault="001B59E4" w:rsidP="00857418">
            <w:pPr>
              <w:numPr>
                <w:ilvl w:val="0"/>
                <w:numId w:val="2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Beleveniseconomie, deeleconomie en bezorgdiensten bloeien.</w:t>
            </w:r>
          </w:p>
          <w:p w14:paraId="7276FD09" w14:textId="77777777" w:rsidR="001B59E4" w:rsidRPr="00703FF4" w:rsidRDefault="001B59E4" w:rsidP="00857418">
            <w:pPr>
              <w:numPr>
                <w:ilvl w:val="0"/>
                <w:numId w:val="5"/>
              </w:numPr>
              <w:spacing w:after="200" w:line="240" w:lineRule="auto"/>
              <w:rPr>
                <w:rFonts w:asciiTheme="minorHAnsi" w:hAnsiTheme="minorHAnsi" w:cstheme="minorHAnsi"/>
                <w:sz w:val="22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 xml:space="preserve">Kleine, hightechbedrijven zijn leidend. </w:t>
            </w:r>
          </w:p>
        </w:tc>
      </w:tr>
      <w:tr w:rsidR="001B59E4" w:rsidRPr="00262692" w14:paraId="7AEEF22F" w14:textId="77777777" w:rsidTr="001B59E4">
        <w:trPr>
          <w:trHeight w:val="1255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0C116A16" w14:textId="77777777" w:rsidR="001B59E4" w:rsidRPr="007A5A96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4D832104" w14:textId="77777777" w:rsidR="001B59E4" w:rsidRPr="007A5A96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7A5A96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Ruimtelijke patronen</w:t>
            </w:r>
          </w:p>
        </w:tc>
        <w:tc>
          <w:tcPr>
            <w:tcW w:w="808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CCCC"/>
          </w:tcPr>
          <w:p w14:paraId="2552A256" w14:textId="77777777" w:rsidR="001B59E4" w:rsidRPr="00703FF4" w:rsidRDefault="001B59E4" w:rsidP="00857418">
            <w:pPr>
              <w:pStyle w:val="Lijstalinea"/>
              <w:numPr>
                <w:ilvl w:val="0"/>
                <w:numId w:val="3"/>
              </w:numPr>
              <w:spacing w:after="200" w:line="240" w:lineRule="auto"/>
              <w:ind w:left="412" w:hanging="412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Digitale ruimte is belangrijker dan de fysieke ruimte. Locaties doen er minder toe, wat tot spreiding leidt.</w:t>
            </w:r>
          </w:p>
          <w:p w14:paraId="6E2A79C8" w14:textId="77777777" w:rsidR="001B59E4" w:rsidRPr="00703FF4" w:rsidRDefault="001B59E4" w:rsidP="00857418">
            <w:pPr>
              <w:pStyle w:val="Lijstalinea"/>
              <w:numPr>
                <w:ilvl w:val="0"/>
                <w:numId w:val="3"/>
              </w:numPr>
              <w:spacing w:after="200" w:line="240" w:lineRule="auto"/>
              <w:ind w:left="412" w:hanging="412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Dit levert fysiek een lappendeken op.</w:t>
            </w:r>
          </w:p>
          <w:p w14:paraId="6E8EE4DD" w14:textId="77777777" w:rsidR="001B59E4" w:rsidRPr="00703FF4" w:rsidRDefault="001B59E4" w:rsidP="00857418">
            <w:pPr>
              <w:pStyle w:val="Lijstalinea"/>
              <w:numPr>
                <w:ilvl w:val="0"/>
                <w:numId w:val="3"/>
              </w:numPr>
              <w:spacing w:after="200" w:line="240" w:lineRule="auto"/>
              <w:ind w:left="388" w:hanging="388"/>
              <w:rPr>
                <w:rFonts w:asciiTheme="minorHAnsi" w:hAnsiTheme="minorHAnsi" w:cstheme="minorHAnsi"/>
                <w:sz w:val="22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Naast hotspots zijn er coldspots, die snel kunnen veranderen.</w:t>
            </w:r>
          </w:p>
        </w:tc>
      </w:tr>
      <w:tr w:rsidR="001B59E4" w:rsidRPr="00663C51" w14:paraId="4C5E21E9" w14:textId="77777777" w:rsidTr="00AE2040">
        <w:trPr>
          <w:trHeight w:val="3106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301092ED" w14:textId="77777777" w:rsidR="001B59E4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</w:p>
          <w:p w14:paraId="06E15489" w14:textId="77777777" w:rsidR="001B59E4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</w:p>
          <w:p w14:paraId="0D74B55C" w14:textId="77777777" w:rsidR="001B59E4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</w:p>
          <w:p w14:paraId="351CD5C9" w14:textId="77777777" w:rsidR="007B344C" w:rsidRDefault="007B344C" w:rsidP="00857418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</w:p>
          <w:p w14:paraId="515E36A1" w14:textId="77777777" w:rsidR="001B59E4" w:rsidRPr="007A5A96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7A5A96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Stad en     regio</w:t>
            </w:r>
          </w:p>
        </w:tc>
        <w:tc>
          <w:tcPr>
            <w:tcW w:w="808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CCCC"/>
          </w:tcPr>
          <w:p w14:paraId="73D4B5BB" w14:textId="77777777" w:rsidR="001B59E4" w:rsidRPr="00966699" w:rsidRDefault="001B59E4" w:rsidP="00857418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966699">
              <w:rPr>
                <w:rFonts w:asciiTheme="minorHAnsi" w:hAnsiTheme="minorHAnsi" w:cstheme="minorHAnsi"/>
                <w:sz w:val="22"/>
                <w:lang w:val="nl-NL"/>
              </w:rPr>
              <w:t>Leidend verstedelijkingsconcept: exopolis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: een </w:t>
            </w:r>
            <w:r w:rsidRPr="00A37C8B">
              <w:rPr>
                <w:lang w:val="nl-NL"/>
              </w:rPr>
              <w:t>verspreide stad zonder de traditionele kwaliteiten van een stad</w:t>
            </w:r>
            <w:r w:rsidRPr="00966699">
              <w:rPr>
                <w:rFonts w:asciiTheme="minorHAnsi" w:hAnsiTheme="minorHAnsi" w:cstheme="minorHAnsi"/>
                <w:sz w:val="22"/>
                <w:lang w:val="nl-NL"/>
              </w:rPr>
              <w:t>.</w:t>
            </w:r>
          </w:p>
          <w:p w14:paraId="424CAFC2" w14:textId="77777777" w:rsidR="001B59E4" w:rsidRPr="00966699" w:rsidRDefault="001B59E4" w:rsidP="00857418">
            <w:pPr>
              <w:numPr>
                <w:ilvl w:val="0"/>
                <w:numId w:val="8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966699">
              <w:rPr>
                <w:rFonts w:asciiTheme="minorHAnsi" w:hAnsiTheme="minorHAnsi" w:cstheme="minorHAnsi"/>
                <w:sz w:val="22"/>
                <w:lang w:val="nl-NL"/>
              </w:rPr>
              <w:t>Locatie verliest betekenis. Veel spreiding. Voorkeur voor goedkope locaties.</w:t>
            </w:r>
          </w:p>
          <w:p w14:paraId="3127CE91" w14:textId="77777777" w:rsidR="001B59E4" w:rsidRDefault="001B59E4" w:rsidP="001B59E4">
            <w:pPr>
              <w:numPr>
                <w:ilvl w:val="0"/>
                <w:numId w:val="8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966699">
              <w:rPr>
                <w:rFonts w:asciiTheme="minorHAnsi" w:hAnsiTheme="minorHAnsi" w:cstheme="minorHAnsi"/>
                <w:sz w:val="22"/>
                <w:lang w:val="nl-NL"/>
              </w:rPr>
              <w:t xml:space="preserve">Tijdelijke bestemmingen, snel veranderend ruimtelijk patroon. Herbestemming en transformatie, ook uitbreiding. Meervoudig ruimtegebruik; tijdelijke programmering door </w:t>
            </w:r>
            <w:r w:rsidRPr="00966699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virtual reality</w:t>
            </w:r>
            <w:r w:rsidRPr="00966699">
              <w:rPr>
                <w:rFonts w:asciiTheme="minorHAnsi" w:hAnsiTheme="minorHAnsi" w:cstheme="minorHAnsi"/>
                <w:sz w:val="22"/>
                <w:lang w:val="nl-NL"/>
              </w:rPr>
              <w:t xml:space="preserve"> en </w:t>
            </w:r>
            <w:r w:rsidRPr="00966699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augmented reality</w:t>
            </w:r>
            <w:r w:rsidRPr="00966699">
              <w:rPr>
                <w:rFonts w:asciiTheme="minorHAnsi" w:hAnsiTheme="minorHAnsi" w:cstheme="minorHAnsi"/>
                <w:sz w:val="22"/>
                <w:lang w:val="nl-NL"/>
              </w:rPr>
              <w:t xml:space="preserve"> (aangevulde realiteit: beeld van de werkelijkheid waaraan digitale elementen zijn toegevoegd).</w:t>
            </w:r>
          </w:p>
          <w:p w14:paraId="7BA0059B" w14:textId="77777777" w:rsidR="0054732C" w:rsidRDefault="0054732C" w:rsidP="0054732C">
            <w:pPr>
              <w:numPr>
                <w:ilvl w:val="0"/>
                <w:numId w:val="8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lang w:val="nl-NL"/>
              </w:rPr>
              <w:t>Digitale connectiviteit is belangrijker dan fysieke mobiliteit. Reisvoorkeuren verschillen sterk per bubbel en per moment.</w:t>
            </w:r>
          </w:p>
          <w:p w14:paraId="6F709056" w14:textId="02DED040" w:rsidR="00AE2040" w:rsidRPr="0054732C" w:rsidRDefault="00AE2040" w:rsidP="00AE2040">
            <w:pPr>
              <w:numPr>
                <w:ilvl w:val="0"/>
                <w:numId w:val="8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lang w:val="nl-NL"/>
              </w:rPr>
              <w:t>Mobility as a service floreert</w:t>
            </w:r>
            <w:r w:rsidR="00102E45">
              <w:rPr>
                <w:rFonts w:asciiTheme="minorHAnsi" w:hAnsiTheme="minorHAnsi" w:cstheme="minorHAnsi"/>
                <w:sz w:val="22"/>
                <w:lang w:val="nl-NL"/>
              </w:rPr>
              <w:t>; diensten zijn versnipperd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: lopen, deelfietsen, </w:t>
            </w:r>
            <w:r w:rsidR="007B344C">
              <w:rPr>
                <w:rFonts w:asciiTheme="minorHAnsi" w:hAnsiTheme="minorHAnsi" w:cstheme="minorHAnsi"/>
                <w:sz w:val="22"/>
                <w:lang w:val="nl-NL"/>
              </w:rPr>
              <w:t>U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>ber, private busdiensten, Randstadrail, zelfrijdende auto</w:t>
            </w:r>
            <w:r w:rsidR="007B344C">
              <w:rPr>
                <w:rFonts w:asciiTheme="minorHAnsi" w:hAnsiTheme="minorHAnsi" w:cstheme="minorHAnsi"/>
                <w:sz w:val="22"/>
                <w:lang w:val="nl-NL"/>
              </w:rPr>
              <w:t>’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>s</w:t>
            </w:r>
            <w:r w:rsidR="007B344C">
              <w:rPr>
                <w:rFonts w:asciiTheme="minorHAnsi" w:hAnsiTheme="minorHAnsi" w:cstheme="minorHAnsi"/>
                <w:sz w:val="22"/>
                <w:lang w:val="nl-NL"/>
              </w:rPr>
              <w:t xml:space="preserve"> e.d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. </w:t>
            </w:r>
          </w:p>
        </w:tc>
      </w:tr>
    </w:tbl>
    <w:p w14:paraId="5247CC6C" w14:textId="77777777" w:rsidR="00CC5FEF" w:rsidRDefault="00CC5FEF" w:rsidP="00CC5FEF"/>
    <w:p w14:paraId="2B76A0A1" w14:textId="0A3D9505" w:rsidR="00CC5FEF" w:rsidRDefault="00CC5FEF" w:rsidP="00CC5FEF">
      <w:pPr>
        <w:spacing w:after="160" w:line="259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CC5FEF">
        <w:rPr>
          <w:rFonts w:asciiTheme="minorHAnsi" w:hAnsiTheme="minorHAnsi" w:cstheme="minorHAnsi"/>
          <w:b/>
          <w:bCs/>
          <w:sz w:val="24"/>
          <w:szCs w:val="24"/>
        </w:rPr>
        <w:t>Pad naar 2050</w:t>
      </w: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85"/>
      </w:tblGrid>
      <w:tr w:rsidR="001B59E4" w:rsidRPr="00FE6113" w14:paraId="6E8093C2" w14:textId="77777777" w:rsidTr="001B59E4">
        <w:trPr>
          <w:trHeight w:val="1019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3CE5DC7B" w14:textId="77777777" w:rsidR="001B59E4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673C300D" w14:textId="54F45821" w:rsidR="001B59E4" w:rsidRPr="00AB385E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Aanleidingen</w:t>
            </w:r>
          </w:p>
        </w:tc>
        <w:tc>
          <w:tcPr>
            <w:tcW w:w="808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CCCC"/>
          </w:tcPr>
          <w:p w14:paraId="72958E4A" w14:textId="77777777" w:rsidR="001B59E4" w:rsidRPr="00AB385E" w:rsidRDefault="001B59E4" w:rsidP="001B59E4">
            <w:pPr>
              <w:spacing w:after="20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ICT </w:t>
            </w:r>
            <w:r w:rsidRPr="00AB385E">
              <w:rPr>
                <w:rFonts w:asciiTheme="minorHAnsi" w:hAnsiTheme="minorHAnsi" w:cstheme="minorHAnsi"/>
                <w:sz w:val="22"/>
                <w:lang w:val="nl-NL"/>
              </w:rPr>
              <w:t>neemt een hoge vlucht, Europese Commissie scherpt mededingings- en privacy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>-</w:t>
            </w:r>
            <w:r w:rsidRPr="00AB385E">
              <w:rPr>
                <w:rFonts w:asciiTheme="minorHAnsi" w:hAnsiTheme="minorHAnsi" w:cstheme="minorHAnsi"/>
                <w:sz w:val="22"/>
                <w:lang w:val="nl-NL"/>
              </w:rPr>
              <w:t>beleid aan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 (vooral in contextscenario Meer)</w:t>
            </w:r>
            <w:r w:rsidRPr="00AB385E">
              <w:rPr>
                <w:rFonts w:asciiTheme="minorHAnsi" w:hAnsiTheme="minorHAnsi" w:cstheme="minorHAnsi"/>
                <w:sz w:val="22"/>
                <w:lang w:val="nl-NL"/>
              </w:rPr>
              <w:t xml:space="preserve">, technologiebedrijven 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moeten </w:t>
            </w:r>
            <w:r w:rsidRPr="00AB385E">
              <w:rPr>
                <w:rFonts w:asciiTheme="minorHAnsi" w:hAnsiTheme="minorHAnsi" w:cstheme="minorHAnsi"/>
                <w:sz w:val="22"/>
                <w:lang w:val="nl-NL"/>
              </w:rPr>
              <w:t>zich op delen en er ontstaan veel kleine hightechbedrijven.</w:t>
            </w:r>
          </w:p>
        </w:tc>
      </w:tr>
      <w:tr w:rsidR="001B59E4" w:rsidRPr="00FE6113" w14:paraId="45153577" w14:textId="77777777" w:rsidTr="001B59E4">
        <w:trPr>
          <w:trHeight w:val="665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2938DC38" w14:textId="77777777" w:rsidR="001B59E4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4A933241" w14:textId="45B76F62" w:rsidR="001B59E4" w:rsidRPr="00AB385E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Voorlopers</w:t>
            </w:r>
          </w:p>
        </w:tc>
        <w:tc>
          <w:tcPr>
            <w:tcW w:w="808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CCCC"/>
          </w:tcPr>
          <w:p w14:paraId="57752B91" w14:textId="77777777" w:rsidR="001B59E4" w:rsidRPr="00AB385E" w:rsidRDefault="001B59E4" w:rsidP="001B59E4">
            <w:pPr>
              <w:spacing w:after="200" w:line="240" w:lineRule="auto"/>
              <w:rPr>
                <w:rFonts w:asciiTheme="minorHAnsi" w:hAnsiTheme="minorHAnsi" w:cstheme="minorHAnsi"/>
                <w:sz w:val="22"/>
              </w:rPr>
            </w:pPr>
            <w:r w:rsidRPr="00AB385E">
              <w:rPr>
                <w:rFonts w:asciiTheme="minorHAnsi" w:hAnsiTheme="minorHAnsi" w:cstheme="minorHAnsi"/>
                <w:sz w:val="22"/>
                <w:lang w:val="nl-NL"/>
              </w:rPr>
              <w:t>Innovatieve bedrijven en burgers pushen het Rijk om mededingings- en privacy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>-</w:t>
            </w:r>
            <w:r w:rsidRPr="00AB385E">
              <w:rPr>
                <w:rFonts w:asciiTheme="minorHAnsi" w:hAnsiTheme="minorHAnsi" w:cstheme="minorHAnsi"/>
                <w:sz w:val="22"/>
                <w:lang w:val="nl-NL"/>
              </w:rPr>
              <w:t xml:space="preserve">beleid aan te scherpen en omgevingsbeleid te liberaliseren en flexibiliseren. </w:t>
            </w:r>
          </w:p>
        </w:tc>
      </w:tr>
      <w:tr w:rsidR="001B59E4" w:rsidRPr="00FE6113" w14:paraId="74FCA7EE" w14:textId="77777777" w:rsidTr="001B59E4">
        <w:trPr>
          <w:trHeight w:val="959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712534AB" w14:textId="77777777" w:rsidR="001B59E4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3B628273" w14:textId="77777777" w:rsidR="001B59E4" w:rsidRPr="00AB385E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Motieven</w:t>
            </w:r>
          </w:p>
        </w:tc>
        <w:tc>
          <w:tcPr>
            <w:tcW w:w="808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CCCC"/>
          </w:tcPr>
          <w:p w14:paraId="45F22184" w14:textId="77777777" w:rsidR="001B59E4" w:rsidRPr="00AB385E" w:rsidRDefault="001B59E4" w:rsidP="001B59E4">
            <w:pPr>
              <w:spacing w:after="200" w:line="240" w:lineRule="auto"/>
              <w:rPr>
                <w:rFonts w:asciiTheme="minorHAnsi" w:hAnsiTheme="minorHAnsi" w:cstheme="minorHAnsi"/>
                <w:sz w:val="22"/>
              </w:rPr>
            </w:pPr>
            <w:r w:rsidRPr="00AB385E">
              <w:rPr>
                <w:rFonts w:asciiTheme="minorHAnsi" w:hAnsiTheme="minorHAnsi" w:cstheme="minorHAnsi"/>
                <w:sz w:val="22"/>
                <w:lang w:val="nl-NL"/>
              </w:rPr>
              <w:t>Inspelen op hoge economische en technologische dynamiek en behoefte aan verandering. Grote fascinatie voor het digitale en een groot vertrouwen in technologische oplossingen.</w:t>
            </w:r>
          </w:p>
        </w:tc>
      </w:tr>
      <w:tr w:rsidR="001B59E4" w:rsidRPr="00FE6113" w14:paraId="03E8AB92" w14:textId="77777777" w:rsidTr="001B59E4">
        <w:trPr>
          <w:trHeight w:val="972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10B4D0ED" w14:textId="77777777" w:rsidR="001B59E4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35FC4272" w14:textId="05650D1D" w:rsidR="001B59E4" w:rsidRPr="00AB385E" w:rsidRDefault="001B59E4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 xml:space="preserve">Maatregelen </w:t>
            </w:r>
          </w:p>
        </w:tc>
        <w:tc>
          <w:tcPr>
            <w:tcW w:w="808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CCCC"/>
          </w:tcPr>
          <w:p w14:paraId="44E0ECC9" w14:textId="4979CAEA" w:rsidR="001B59E4" w:rsidRDefault="001B59E4" w:rsidP="001B59E4">
            <w:pPr>
              <w:spacing w:after="200" w:line="240" w:lineRule="auto"/>
              <w:rPr>
                <w:rFonts w:asciiTheme="minorHAnsi" w:hAnsiTheme="minorHAnsi" w:cstheme="minorHAnsi"/>
                <w:sz w:val="22"/>
              </w:rPr>
            </w:pPr>
            <w:r w:rsidRPr="00AB385E">
              <w:rPr>
                <w:rFonts w:asciiTheme="minorHAnsi" w:hAnsiTheme="minorHAnsi" w:cstheme="minorHAnsi"/>
                <w:sz w:val="22"/>
                <w:lang w:val="nl-NL"/>
              </w:rPr>
              <w:t xml:space="preserve">Omgevingsplan afschaffen, </w:t>
            </w:r>
            <w:r w:rsidR="008A4ED0" w:rsidRPr="00AB385E">
              <w:rPr>
                <w:rFonts w:asciiTheme="minorHAnsi" w:hAnsiTheme="minorHAnsi" w:cstheme="minorHAnsi"/>
                <w:sz w:val="22"/>
                <w:lang w:val="nl-NL"/>
              </w:rPr>
              <w:t>besluitvormingsprocessen</w:t>
            </w:r>
            <w:r w:rsidR="008A4ED0" w:rsidRPr="00AB385E">
              <w:rPr>
                <w:rFonts w:asciiTheme="minorHAnsi" w:hAnsiTheme="minorHAnsi" w:cstheme="minorHAnsi"/>
                <w:sz w:val="22"/>
                <w:lang w:val="nl-NL"/>
              </w:rPr>
              <w:t xml:space="preserve"> </w:t>
            </w:r>
            <w:r w:rsidR="008A4ED0">
              <w:rPr>
                <w:rFonts w:asciiTheme="minorHAnsi" w:hAnsiTheme="minorHAnsi" w:cstheme="minorHAnsi"/>
                <w:sz w:val="22"/>
                <w:lang w:val="nl-NL"/>
              </w:rPr>
              <w:t xml:space="preserve">met </w:t>
            </w:r>
            <w:r w:rsidRPr="00AB385E">
              <w:rPr>
                <w:rFonts w:asciiTheme="minorHAnsi" w:hAnsiTheme="minorHAnsi" w:cstheme="minorHAnsi"/>
                <w:sz w:val="22"/>
                <w:lang w:val="nl-NL"/>
              </w:rPr>
              <w:t>digitale patroonherkenning en zelflerende algoritmes</w:t>
            </w:r>
            <w:r w:rsidR="008A4ED0">
              <w:rPr>
                <w:rFonts w:asciiTheme="minorHAnsi" w:hAnsiTheme="minorHAnsi" w:cstheme="minorHAnsi"/>
                <w:sz w:val="22"/>
                <w:lang w:val="nl-NL"/>
              </w:rPr>
              <w:t xml:space="preserve"> faciliteren</w:t>
            </w:r>
            <w:r w:rsidRPr="00AB385E">
              <w:rPr>
                <w:rFonts w:asciiTheme="minorHAnsi" w:hAnsiTheme="minorHAnsi" w:cstheme="minorHAnsi"/>
                <w:sz w:val="22"/>
                <w:lang w:val="nl-NL"/>
              </w:rPr>
              <w:t>, mededingingsautoriteit tanden</w:t>
            </w:r>
            <w:r w:rsidR="008A4ED0">
              <w:rPr>
                <w:rFonts w:asciiTheme="minorHAnsi" w:hAnsiTheme="minorHAnsi" w:cstheme="minorHAnsi"/>
                <w:sz w:val="22"/>
                <w:lang w:val="nl-NL"/>
              </w:rPr>
              <w:t xml:space="preserve"> geven, </w:t>
            </w:r>
            <w:r w:rsidRPr="00AB385E">
              <w:rPr>
                <w:rFonts w:asciiTheme="minorHAnsi" w:hAnsiTheme="minorHAnsi" w:cstheme="minorHAnsi"/>
                <w:sz w:val="22"/>
                <w:lang w:val="nl-NL"/>
              </w:rPr>
              <w:t>ministerie voor digitale en energie-infrastructuur oprichten</w:t>
            </w:r>
            <w:r w:rsidR="008A4ED0">
              <w:rPr>
                <w:rFonts w:asciiTheme="minorHAnsi" w:hAnsiTheme="minorHAnsi" w:cstheme="minorHAnsi"/>
                <w:sz w:val="22"/>
                <w:lang w:val="nl-NL"/>
              </w:rPr>
              <w:t xml:space="preserve"> en inspraak via platforms organiseren.</w:t>
            </w:r>
          </w:p>
        </w:tc>
      </w:tr>
    </w:tbl>
    <w:p w14:paraId="100ABDA2" w14:textId="77777777" w:rsidR="00CC5FEF" w:rsidRDefault="00CC5FEF" w:rsidP="00CC5FEF">
      <w:pPr>
        <w:spacing w:after="160" w:line="259" w:lineRule="auto"/>
        <w:contextualSpacing w:val="0"/>
      </w:pPr>
    </w:p>
    <w:p w14:paraId="345B78F1" w14:textId="77777777" w:rsidR="00CC5FEF" w:rsidRDefault="00CC5FEF" w:rsidP="00CB57BA">
      <w:pPr>
        <w:spacing w:after="160" w:line="259" w:lineRule="auto"/>
        <w:contextualSpacing w:val="0"/>
      </w:pPr>
    </w:p>
    <w:sectPr w:rsidR="00CC5FEF" w:rsidSect="00E87740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6DDB" w14:textId="77777777" w:rsidR="00552AC7" w:rsidRDefault="00552AC7" w:rsidP="00071DAC">
      <w:pPr>
        <w:spacing w:line="240" w:lineRule="auto"/>
      </w:pPr>
      <w:r>
        <w:separator/>
      </w:r>
    </w:p>
  </w:endnote>
  <w:endnote w:type="continuationSeparator" w:id="0">
    <w:p w14:paraId="4ACA9DEE" w14:textId="77777777" w:rsidR="00552AC7" w:rsidRDefault="00552AC7" w:rsidP="00071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jksoverheidSansText">
    <w:altName w:val="Calibri"/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BFCC" w14:textId="1C4AE570" w:rsidR="00071DAC" w:rsidRDefault="00071DAC">
    <w:pPr>
      <w:pStyle w:val="Voettekst"/>
      <w:jc w:val="center"/>
    </w:pPr>
  </w:p>
  <w:p w14:paraId="79DE1234" w14:textId="77777777" w:rsidR="00071DAC" w:rsidRDefault="00071D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741C" w14:textId="77777777" w:rsidR="00552AC7" w:rsidRDefault="00552AC7" w:rsidP="00071DAC">
      <w:pPr>
        <w:spacing w:line="240" w:lineRule="auto"/>
      </w:pPr>
      <w:r>
        <w:separator/>
      </w:r>
    </w:p>
  </w:footnote>
  <w:footnote w:type="continuationSeparator" w:id="0">
    <w:p w14:paraId="6FF8AFA4" w14:textId="77777777" w:rsidR="00552AC7" w:rsidRDefault="00552AC7" w:rsidP="00071D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700"/>
    <w:multiLevelType w:val="hybridMultilevel"/>
    <w:tmpl w:val="63205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378F3"/>
    <w:multiLevelType w:val="hybridMultilevel"/>
    <w:tmpl w:val="D8ACC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B43AE"/>
    <w:multiLevelType w:val="hybridMultilevel"/>
    <w:tmpl w:val="AD1A4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E1F47"/>
    <w:multiLevelType w:val="hybridMultilevel"/>
    <w:tmpl w:val="DFAEA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B409C"/>
    <w:multiLevelType w:val="hybridMultilevel"/>
    <w:tmpl w:val="60643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E0DC3"/>
    <w:multiLevelType w:val="hybridMultilevel"/>
    <w:tmpl w:val="E070B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B2D7D"/>
    <w:multiLevelType w:val="hybridMultilevel"/>
    <w:tmpl w:val="F06C1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87B21"/>
    <w:multiLevelType w:val="hybridMultilevel"/>
    <w:tmpl w:val="5BF8A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A15044"/>
    <w:multiLevelType w:val="hybridMultilevel"/>
    <w:tmpl w:val="B5CA8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D606B"/>
    <w:multiLevelType w:val="hybridMultilevel"/>
    <w:tmpl w:val="1CA2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05790"/>
    <w:multiLevelType w:val="hybridMultilevel"/>
    <w:tmpl w:val="BE486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83BD3"/>
    <w:multiLevelType w:val="hybridMultilevel"/>
    <w:tmpl w:val="09DA6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2CF8"/>
    <w:multiLevelType w:val="hybridMultilevel"/>
    <w:tmpl w:val="DE9EEB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5FC6"/>
    <w:multiLevelType w:val="hybridMultilevel"/>
    <w:tmpl w:val="FFAC0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438CF"/>
    <w:multiLevelType w:val="hybridMultilevel"/>
    <w:tmpl w:val="375649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F26DE"/>
    <w:multiLevelType w:val="hybridMultilevel"/>
    <w:tmpl w:val="BF12A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9C6D7C"/>
    <w:multiLevelType w:val="hybridMultilevel"/>
    <w:tmpl w:val="5FFA9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1F7FD1"/>
    <w:multiLevelType w:val="hybridMultilevel"/>
    <w:tmpl w:val="AAA2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972457"/>
    <w:multiLevelType w:val="hybridMultilevel"/>
    <w:tmpl w:val="EE2EF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16B51"/>
    <w:multiLevelType w:val="hybridMultilevel"/>
    <w:tmpl w:val="FB08E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2C2FEF"/>
    <w:multiLevelType w:val="hybridMultilevel"/>
    <w:tmpl w:val="3BEAF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62170B"/>
    <w:multiLevelType w:val="hybridMultilevel"/>
    <w:tmpl w:val="864445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860E48"/>
    <w:multiLevelType w:val="hybridMultilevel"/>
    <w:tmpl w:val="2BEA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32807"/>
    <w:multiLevelType w:val="hybridMultilevel"/>
    <w:tmpl w:val="05F83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CFDC8">
      <w:numFmt w:val="bullet"/>
      <w:lvlText w:val="•"/>
      <w:lvlJc w:val="left"/>
      <w:pPr>
        <w:ind w:left="1800" w:hanging="720"/>
      </w:pPr>
      <w:rPr>
        <w:rFonts w:ascii="RijksoverheidSansText" w:eastAsiaTheme="minorEastAsia" w:hAnsi="RijksoverheidSansText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A1727"/>
    <w:multiLevelType w:val="hybridMultilevel"/>
    <w:tmpl w:val="8ACC50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4546FC"/>
    <w:multiLevelType w:val="hybridMultilevel"/>
    <w:tmpl w:val="1D7A2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4403022">
    <w:abstractNumId w:val="25"/>
  </w:num>
  <w:num w:numId="2" w16cid:durableId="364329593">
    <w:abstractNumId w:val="0"/>
  </w:num>
  <w:num w:numId="3" w16cid:durableId="1826781472">
    <w:abstractNumId w:val="22"/>
  </w:num>
  <w:num w:numId="4" w16cid:durableId="1495296450">
    <w:abstractNumId w:val="17"/>
  </w:num>
  <w:num w:numId="5" w16cid:durableId="266499867">
    <w:abstractNumId w:val="7"/>
  </w:num>
  <w:num w:numId="6" w16cid:durableId="483131468">
    <w:abstractNumId w:val="9"/>
  </w:num>
  <w:num w:numId="7" w16cid:durableId="1506243643">
    <w:abstractNumId w:val="15"/>
  </w:num>
  <w:num w:numId="8" w16cid:durableId="2050689972">
    <w:abstractNumId w:val="3"/>
  </w:num>
  <w:num w:numId="9" w16cid:durableId="767894302">
    <w:abstractNumId w:val="2"/>
  </w:num>
  <w:num w:numId="10" w16cid:durableId="2025587889">
    <w:abstractNumId w:val="1"/>
  </w:num>
  <w:num w:numId="11" w16cid:durableId="950480594">
    <w:abstractNumId w:val="4"/>
  </w:num>
  <w:num w:numId="12" w16cid:durableId="1490442488">
    <w:abstractNumId w:val="19"/>
  </w:num>
  <w:num w:numId="13" w16cid:durableId="1584951550">
    <w:abstractNumId w:val="23"/>
  </w:num>
  <w:num w:numId="14" w16cid:durableId="480511294">
    <w:abstractNumId w:val="10"/>
  </w:num>
  <w:num w:numId="15" w16cid:durableId="995691280">
    <w:abstractNumId w:val="14"/>
  </w:num>
  <w:num w:numId="16" w16cid:durableId="360329492">
    <w:abstractNumId w:val="6"/>
  </w:num>
  <w:num w:numId="17" w16cid:durableId="819274265">
    <w:abstractNumId w:val="13"/>
  </w:num>
  <w:num w:numId="18" w16cid:durableId="1291135797">
    <w:abstractNumId w:val="16"/>
  </w:num>
  <w:num w:numId="19" w16cid:durableId="1684933554">
    <w:abstractNumId w:val="5"/>
  </w:num>
  <w:num w:numId="20" w16cid:durableId="1861430097">
    <w:abstractNumId w:val="8"/>
  </w:num>
  <w:num w:numId="21" w16cid:durableId="862354470">
    <w:abstractNumId w:val="24"/>
  </w:num>
  <w:num w:numId="22" w16cid:durableId="1182280558">
    <w:abstractNumId w:val="11"/>
  </w:num>
  <w:num w:numId="23" w16cid:durableId="1686401642">
    <w:abstractNumId w:val="18"/>
  </w:num>
  <w:num w:numId="24" w16cid:durableId="1361590918">
    <w:abstractNumId w:val="20"/>
  </w:num>
  <w:num w:numId="25" w16cid:durableId="1275942129">
    <w:abstractNumId w:val="21"/>
  </w:num>
  <w:num w:numId="26" w16cid:durableId="792097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F4"/>
    <w:rsid w:val="00041A6C"/>
    <w:rsid w:val="00071DAC"/>
    <w:rsid w:val="00096118"/>
    <w:rsid w:val="00097176"/>
    <w:rsid w:val="000D7A47"/>
    <w:rsid w:val="000E14B4"/>
    <w:rsid w:val="00102E45"/>
    <w:rsid w:val="00125AB6"/>
    <w:rsid w:val="0013396A"/>
    <w:rsid w:val="00150787"/>
    <w:rsid w:val="00166BB1"/>
    <w:rsid w:val="001A4D66"/>
    <w:rsid w:val="001B59E4"/>
    <w:rsid w:val="0022083D"/>
    <w:rsid w:val="002E5BD2"/>
    <w:rsid w:val="003B31EA"/>
    <w:rsid w:val="004A72BB"/>
    <w:rsid w:val="004B2F70"/>
    <w:rsid w:val="00510B10"/>
    <w:rsid w:val="0054732C"/>
    <w:rsid w:val="00552AC7"/>
    <w:rsid w:val="00634C3E"/>
    <w:rsid w:val="00635407"/>
    <w:rsid w:val="00672B37"/>
    <w:rsid w:val="00682ED0"/>
    <w:rsid w:val="006C0BD7"/>
    <w:rsid w:val="006E4CFF"/>
    <w:rsid w:val="006E77C7"/>
    <w:rsid w:val="006F602B"/>
    <w:rsid w:val="00703FF4"/>
    <w:rsid w:val="007330BD"/>
    <w:rsid w:val="007A5A96"/>
    <w:rsid w:val="007B344C"/>
    <w:rsid w:val="008A4ED0"/>
    <w:rsid w:val="00966699"/>
    <w:rsid w:val="00A342FF"/>
    <w:rsid w:val="00AB385E"/>
    <w:rsid w:val="00AE2040"/>
    <w:rsid w:val="00BA2497"/>
    <w:rsid w:val="00BE616E"/>
    <w:rsid w:val="00BF471A"/>
    <w:rsid w:val="00C13A8B"/>
    <w:rsid w:val="00CB57BA"/>
    <w:rsid w:val="00CC5FEF"/>
    <w:rsid w:val="00DD30FB"/>
    <w:rsid w:val="00E87740"/>
    <w:rsid w:val="00F62A39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80B2"/>
  <w15:chartTrackingRefBased/>
  <w15:docId w15:val="{7296F6C6-099A-46EA-BBC8-49A6EDB4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3FF4"/>
    <w:pPr>
      <w:spacing w:after="0" w:line="276" w:lineRule="auto"/>
      <w:contextualSpacing/>
    </w:pPr>
    <w:rPr>
      <w:rFonts w:ascii="RijksoverheidSansText" w:eastAsiaTheme="minorEastAsia" w:hAnsi="RijksoverheidSansText"/>
      <w:kern w:val="0"/>
      <w:sz w:val="21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3FF4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ur-tabel-titel">
    <w:name w:val="Figuur-tabel-titel"/>
    <w:basedOn w:val="Standaard"/>
    <w:next w:val="Standaard"/>
    <w:link w:val="Figuur-tabel-titelChar"/>
    <w:qFormat/>
    <w:rsid w:val="00703FF4"/>
    <w:pPr>
      <w:keepNext/>
      <w:spacing w:after="120"/>
    </w:pPr>
    <w:rPr>
      <w:color w:val="757600"/>
      <w:sz w:val="20"/>
      <w:szCs w:val="18"/>
    </w:rPr>
  </w:style>
  <w:style w:type="character" w:customStyle="1" w:styleId="Figuur-tabel-titelChar">
    <w:name w:val="Figuur-tabel-titel Char"/>
    <w:basedOn w:val="Standaardalinea-lettertype"/>
    <w:link w:val="Figuur-tabel-titel"/>
    <w:rsid w:val="00703FF4"/>
    <w:rPr>
      <w:rFonts w:ascii="RijksoverheidSansText" w:eastAsiaTheme="minorEastAsia" w:hAnsi="RijksoverheidSansText"/>
      <w:color w:val="757600"/>
      <w:kern w:val="0"/>
      <w:sz w:val="20"/>
      <w:szCs w:val="18"/>
      <w14:ligatures w14:val="none"/>
    </w:rPr>
  </w:style>
  <w:style w:type="paragraph" w:styleId="Lijstalinea">
    <w:name w:val="List Paragraph"/>
    <w:basedOn w:val="Standaard"/>
    <w:uiPriority w:val="34"/>
    <w:qFormat/>
    <w:rsid w:val="00703FF4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071DA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DAC"/>
    <w:rPr>
      <w:rFonts w:ascii="RijksoverheidSansText" w:eastAsiaTheme="minorEastAsia" w:hAnsi="RijksoverheidSansText"/>
      <w:kern w:val="0"/>
      <w:sz w:val="21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071DA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DAC"/>
    <w:rPr>
      <w:rFonts w:ascii="RijksoverheidSansText" w:eastAsiaTheme="minorEastAsia" w:hAnsi="RijksoverheidSansText"/>
      <w:kern w:val="0"/>
      <w:sz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C029-20DF-4445-9761-DF9BF8AE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edfidel vernooy</dc:creator>
  <cp:keywords/>
  <dc:description/>
  <cp:lastModifiedBy>edfidel vernooy</cp:lastModifiedBy>
  <cp:revision>13</cp:revision>
  <cp:lastPrinted>2023-04-15T14:34:00Z</cp:lastPrinted>
  <dcterms:created xsi:type="dcterms:W3CDTF">2023-05-07T18:29:00Z</dcterms:created>
  <dcterms:modified xsi:type="dcterms:W3CDTF">2023-05-08T08:36:00Z</dcterms:modified>
</cp:coreProperties>
</file>